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Head, Belarusian Energy Minister Meet at Russian Energy Week</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meeting discussed existing and promising bilateral nuclear projects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September 26, on the sidelines of the Russian Energy Week, Rosatom Director General Alexey Likhachev held negotiations with Alexey Kushnarenko, Minister of Energy of the Republic of Belarus.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Alexey Likhachev has emphasized that Rosatom attached great importance to developing cooperation with the Republic of Belarus. The dialogue partners discussed existing and promising bilateral nuclear projects. In particular, the addressed issues covered servicing the Belarusian NPP, nuclear fuel supplies and joint nuclear fuel cycle projects.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Moreover, the parties aligned on implementing new non-nuclear initiatives aimed at ensuring technological sovereignty of the Union State.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sz w:val="28"/>
          <w:szCs w:val="28"/>
        </w:rPr>
      </w:pPr>
      <w:r w:rsidDel="00000000" w:rsidR="00000000" w:rsidRPr="00000000">
        <w:rPr>
          <w:rtl w:val="0"/>
        </w:rPr>
        <w:t xml:space="preserve">The meeting was marked by a cordial and friendly atmosphere characterizing the entire partnership between Rosatom and the Belarusian Ministry of Energy.</w:t>
      </w:r>
      <w:r w:rsidDel="00000000" w:rsidR="00000000" w:rsidRPr="00000000">
        <w:rPr>
          <w:rtl w:val="0"/>
        </w:rPr>
      </w:r>
    </w:p>
    <w:p w:rsidR="00000000" w:rsidDel="00000000" w:rsidP="00000000" w:rsidRDefault="00000000" w:rsidRPr="00000000" w14:paraId="00000015">
      <w:pPr>
        <w:ind w:right="560"/>
        <w:rPr>
          <w:sz w:val="28"/>
          <w:szCs w:val="28"/>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Rosatom State Corporation Engineering Division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ZFLaeE3D2GrGUcId2fWZcEXuQ==">CgMxLjA4AHIhMVp6cGR5NzY3a0hUMzhGVG10WWNrSnQxV1ktOEJFSk1S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