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20957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150663057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/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31.01.24</w:t>
            </w:r>
          </w:p>
        </w:tc>
      </w:tr>
    </w:tbl>
    <w:p w:rsidR="00000000" w:rsidDel="00000000" w:rsidP="00000000" w:rsidRDefault="00000000" w:rsidRPr="00000000" w14:paraId="00000007">
      <w:pPr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76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Более 543 млн руб. направят «Росэнергоатом» и правительство Чукотского автономного округа на развитие Певека и Билибино</w:t>
      </w:r>
    </w:p>
    <w:p w:rsidR="00000000" w:rsidDel="00000000" w:rsidP="00000000" w:rsidRDefault="00000000" w:rsidRPr="00000000" w14:paraId="00000009">
      <w:pPr>
        <w:spacing w:line="276" w:lineRule="auto"/>
        <w:jc w:val="center"/>
        <w:rPr/>
      </w:pPr>
      <w:r w:rsidDel="00000000" w:rsidR="00000000" w:rsidRPr="00000000">
        <w:rPr>
          <w:i w:val="1"/>
          <w:rtl w:val="0"/>
        </w:rPr>
        <w:t xml:space="preserve">Работа по поддержке городов расположения атомных станций ведется концерном уже в течение многих лет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76" w:lineRule="auto"/>
        <w:rPr/>
      </w:pPr>
      <w:r w:rsidDel="00000000" w:rsidR="00000000" w:rsidRPr="00000000">
        <w:rPr>
          <w:rtl w:val="0"/>
        </w:rPr>
        <w:t xml:space="preserve">Генеральный директор АО «Концерн Росэнергоатом» (входит в электроэнергетический дивизион Госкорпорации «Росатом») Александр Шутиков и губернатор Чукотского автономного округа Владислав Кузнецов подписали программу финансирования инициатив концерна «Росэнергоатом» и правительства Чукотского автономного округа на 2024–2025 годы. </w:t>
      </w:r>
    </w:p>
    <w:p w:rsidR="00000000" w:rsidDel="00000000" w:rsidP="00000000" w:rsidRDefault="00000000" w:rsidRPr="00000000" w14:paraId="0000000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D">
      <w:pPr>
        <w:spacing w:line="276" w:lineRule="auto"/>
        <w:rPr/>
      </w:pPr>
      <w:r w:rsidDel="00000000" w:rsidR="00000000" w:rsidRPr="00000000">
        <w:rPr>
          <w:rtl w:val="0"/>
        </w:rPr>
        <w:t xml:space="preserve">Документ определяет перечень мероприятий по инфраструктурному и социально-экономическому развитию, которые планируется осуществить в атомных городах Билибино и Певек в течение двух лет. На реализацию мероприятий в обоих городах сторонами будет выделено более 543 млн руб.</w:t>
      </w:r>
    </w:p>
    <w:p w:rsidR="00000000" w:rsidDel="00000000" w:rsidP="00000000" w:rsidRDefault="00000000" w:rsidRPr="00000000" w14:paraId="0000000E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0F">
      <w:pPr>
        <w:spacing w:line="276" w:lineRule="auto"/>
        <w:rPr/>
      </w:pPr>
      <w:r w:rsidDel="00000000" w:rsidR="00000000" w:rsidRPr="00000000">
        <w:rPr>
          <w:rtl w:val="0"/>
        </w:rPr>
        <w:t xml:space="preserve">В Билибино средства планируется направить на оснащение центральной библиотеки, приобретение мебели для детских садов, школ, районного центра детского образования, детско-юношеской спортивной школы, городского краеведческого музея, а также ремонт кровли спортивно-оздоровительного комплекса, внутриквартальных проездов, благоустройство территории на «Антенном поле». В Певеке планируют благоустроить территорию рядом с культурно-досуговым комплексом «Айсберг», завершить работы по обустройству городской набережной, начать строительство физкультурно-оздоровительного комплекса и многое другое.</w:t>
      </w:r>
    </w:p>
    <w:p w:rsidR="00000000" w:rsidDel="00000000" w:rsidP="00000000" w:rsidRDefault="00000000" w:rsidRPr="00000000" w14:paraId="00000010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line="276" w:lineRule="auto"/>
        <w:rPr/>
      </w:pPr>
      <w:r w:rsidDel="00000000" w:rsidR="00000000" w:rsidRPr="00000000">
        <w:rPr>
          <w:rtl w:val="0"/>
        </w:rPr>
        <w:t xml:space="preserve">Глава Чукотского автономного округа Владислав Кузнецов отметил, что перечень инициатив, подписанный сторонами, подразумевает конкретный план действий и сроков их реализации. «Развитие партнерства с Госкорпорацией „Росатом“ дает мощный импульс инновационному и промышленному развитию не только атомных городов северного региона, но и всего Чукотского автономного округа. Благодарны концерну за диалог, поддержку наших проектов по улучшению жизни людей. Развитие арктических регионов требует активного сотрудничества по улучшению социальной инфраструктуры с компаниями, которые работают в нашем округе. Взаимодействие с социально ответственными организациями позволяет эффективнее благоустраивать территории муниципалитетов Чукотки».</w:t>
      </w:r>
    </w:p>
    <w:p w:rsidR="00000000" w:rsidDel="00000000" w:rsidP="00000000" w:rsidRDefault="00000000" w:rsidRPr="00000000" w14:paraId="00000012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3">
      <w:pPr>
        <w:spacing w:line="276" w:lineRule="auto"/>
        <w:rPr/>
      </w:pPr>
      <w:r w:rsidDel="00000000" w:rsidR="00000000" w:rsidRPr="00000000">
        <w:rPr>
          <w:rtl w:val="0"/>
        </w:rPr>
        <w:t xml:space="preserve">«Один из важных аспектов социальной ответственности Госкорпорации „Росатом“ – помогать городам расположения предприятий атомной отрасли в вопросах социального развития, учитывая при этом предложения жителей, — подчеркнул генеральный директор АО «Концерн Росэнергоатом» Александр Шутиков. — Поддержку получают как крупные запросы на улучшение городской инфраструктуры, так и проекты точечной модернизации и дооснащения городских объектов. </w:t>
      </w:r>
      <w:r w:rsidDel="00000000" w:rsidR="00000000" w:rsidRPr="00000000">
        <w:rPr>
          <w:rtl w:val="0"/>
        </w:rPr>
        <w:t xml:space="preserve">Правительство РФ и региональные власти в партнерстве с Госкорпорацией „Росатом“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развитие инфраструктуры</w:t>
      </w:r>
      <w:r w:rsidDel="00000000" w:rsidR="00000000" w:rsidRPr="00000000">
        <w:rPr>
          <w:rtl w:val="0"/>
        </w:rPr>
        <w:t xml:space="preserve">».</w:t>
      </w:r>
    </w:p>
    <w:p w:rsidR="00000000" w:rsidDel="00000000" w:rsidP="00000000" w:rsidRDefault="00000000" w:rsidRPr="00000000" w14:paraId="00000014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5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Справка:</w:t>
      </w:r>
    </w:p>
    <w:p w:rsidR="00000000" w:rsidDel="00000000" w:rsidP="00000000" w:rsidRDefault="00000000" w:rsidRPr="00000000" w14:paraId="00000016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7">
      <w:pPr>
        <w:spacing w:line="276" w:lineRule="auto"/>
        <w:rPr/>
      </w:pPr>
      <w:r w:rsidDel="00000000" w:rsidR="00000000" w:rsidRPr="00000000">
        <w:rPr>
          <w:rtl w:val="0"/>
        </w:rPr>
        <w:t xml:space="preserve">Работа по поддержке северных территорий расположения атомных станций ведется концерном «Росэнергоатом» уже в течение многих лет. Только за 2021–2023 годы в рамках благотворительной помощи было направлено более 680 миллионов рублей на мероприятия по благоустройству территорий Билибино и Певека. Впереди еще более масштабные преобразования в связи с вхождением обоих городов в перечень опорных населенных пунктов Арктической зоны Российской Федерации и предстоящим созданием мастер-планов по развитию территорий.</w:t>
      </w:r>
    </w:p>
    <w:p w:rsidR="00000000" w:rsidDel="00000000" w:rsidP="00000000" w:rsidRDefault="00000000" w:rsidRPr="00000000" w14:paraId="00000018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9">
      <w:pPr>
        <w:spacing w:line="276" w:lineRule="auto"/>
        <w:rPr/>
      </w:pPr>
      <w:r w:rsidDel="00000000" w:rsidR="00000000" w:rsidRPr="00000000">
        <w:rPr>
          <w:rtl w:val="0"/>
        </w:rPr>
        <w:t xml:space="preserve">Плавучая атомная теплоэлектростанция (ПАТЭС, расположена в городе Певек Чукотского автономного округа) — единственная в мире действующая плавучая АЭС малой мощности, самая северная атомная теплоэлектростанция в мире. Ее запуск в мае 2020 г. стал настоящим прорывом на пути обеспечения устойчивого развития удаленных территорий России. ПАТЭС включает в себя плавучий энергоблок (ПЭБ) «Академик Ломоносов» с двумя реакторными установками КЛТ-40С, являющийся источником электрической и тепловой энергии мощностью 70 МВт и 50 Гкал/ч соответственно, а также береговую инфраструктуру, которая предназначена для выдачи тепловой и электрической энергии от ПЭБ потребителям. Помимо выработки электроэнергии, ПАТЭС выдает тепло в г. Певек, а в дальнейшем станет надежным источником генерации света и тепла для всего региона.</w:t>
      </w:r>
    </w:p>
    <w:p w:rsidR="00000000" w:rsidDel="00000000" w:rsidP="00000000" w:rsidRDefault="00000000" w:rsidRPr="00000000" w14:paraId="0000001A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p w:rsidR="00000000" w:rsidDel="00000000" w:rsidP="00000000" w:rsidRDefault="00000000" w:rsidRPr="00000000" w14:paraId="0000001B">
      <w:pPr>
        <w:spacing w:line="276" w:lineRule="auto"/>
        <w:rPr/>
      </w:pPr>
      <w:r w:rsidDel="00000000" w:rsidR="00000000" w:rsidRPr="00000000">
        <w:rPr>
          <w:rtl w:val="0"/>
        </w:rPr>
        <w:t xml:space="preserve">Президент и Правительство РФ и региональные власти в партнерстве с крупными российскими компаниями уделяют большое внимание росту качества жизни населения страны. Эта деятельность включает в себя ускорение реализации национальных проектов, комплексное улучшение жилищных условий граждан, уровня доступности медицины, развитие инфраструктуры. Предприятия Госкорпорации «Росатом» принимают активное участие в этой работе.</w:t>
      </w:r>
    </w:p>
    <w:p w:rsidR="00000000" w:rsidDel="00000000" w:rsidP="00000000" w:rsidRDefault="00000000" w:rsidRPr="00000000" w14:paraId="0000001C">
      <w:pPr>
        <w:spacing w:line="276" w:lineRule="auto"/>
        <w:rPr/>
      </w:pPr>
      <w:r w:rsidDel="00000000" w:rsidR="00000000" w:rsidRPr="00000000">
        <w:rPr>
          <w:rtl w:val="0"/>
        </w:rPr>
        <w:t xml:space="preserve"> </w:t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i w:val="1"/>
        <w:color w:val="595959"/>
        <w:rtl w:val="0"/>
      </w:rPr>
      <w:t xml:space="preserve">Пресс-служба Фонда «АТР АЭС»</w: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a4">
    <w:name w:val="Hyperlink"/>
    <w:basedOn w:val="a0"/>
    <w:uiPriority w:val="99"/>
    <w:unhideWhenUsed w:val="1"/>
    <w:rsid w:val="00C56287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basedOn w:val="a0"/>
    <w:uiPriority w:val="99"/>
    <w:semiHidden w:val="1"/>
    <w:unhideWhenUsed w:val="1"/>
    <w:rsid w:val="00C56287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EvvO74iCHD0SnUg/E+Mw8FPVlw==">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2024-01-31T12:55:00Z</dcterms:created>
  <dc:creator>b v</dc:creator>
</cp:coreProperties>
</file>