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E2627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4005F65" w:rsidR="00A514EF" w:rsidRPr="00A91A68" w:rsidRDefault="007403A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E2B1E1D" w14:textId="77777777" w:rsidR="008A4077" w:rsidRPr="008A4077" w:rsidRDefault="008A4077" w:rsidP="008A4077">
      <w:pPr>
        <w:jc w:val="center"/>
        <w:rPr>
          <w:b/>
          <w:bCs/>
          <w:sz w:val="28"/>
          <w:szCs w:val="28"/>
        </w:rPr>
      </w:pPr>
      <w:r w:rsidRPr="008A4077">
        <w:rPr>
          <w:b/>
          <w:bCs/>
          <w:sz w:val="28"/>
          <w:szCs w:val="28"/>
        </w:rPr>
        <w:t>«Росатом» рассказал на форуме «ЦИПР-2025» о шагах по формированию будущего цифровой промышленности</w:t>
      </w:r>
    </w:p>
    <w:p w14:paraId="372F31C7" w14:textId="77777777" w:rsidR="008A4077" w:rsidRPr="008A4077" w:rsidRDefault="008A4077" w:rsidP="008A4077">
      <w:pPr>
        <w:jc w:val="center"/>
        <w:rPr>
          <w:i/>
          <w:iCs/>
        </w:rPr>
      </w:pPr>
      <w:r w:rsidRPr="008A4077">
        <w:rPr>
          <w:i/>
          <w:iCs/>
        </w:rPr>
        <w:t>Госкорпорация выступила генеральным партнером форума</w:t>
      </w:r>
    </w:p>
    <w:p w14:paraId="289560B5" w14:textId="77777777" w:rsidR="008A4077" w:rsidRPr="008A4077" w:rsidRDefault="008A4077" w:rsidP="008A4077"/>
    <w:p w14:paraId="05ABC930" w14:textId="77777777" w:rsidR="008A4077" w:rsidRPr="008A4077" w:rsidRDefault="008A4077" w:rsidP="008A4077">
      <w:pPr>
        <w:rPr>
          <w:b/>
          <w:bCs/>
        </w:rPr>
      </w:pPr>
      <w:r w:rsidRPr="008A4077">
        <w:rPr>
          <w:b/>
          <w:bCs/>
        </w:rPr>
        <w:t>Госкорпорация «Росатом» и ее предприятия приняли активное участие в Х конференции «Цифровая индустрия промышленной России (ЦИПР – 2025)», которая прошла с 2 по 5 июня в Нижнем Новгороде и собрала представителей более 30 стран. Особое внимание участников ЦИПР в этом году было сосредоточено на вопросах импортозамещения, развития цифрового суверенитета, а также на поиске перспективных направлений международного партнерства в ИТ-сфере. Основной темой выступлений экспертов «Росатома» стали шаги по реализации концепции технологического лидерства.</w:t>
      </w:r>
    </w:p>
    <w:p w14:paraId="2A51EA37" w14:textId="77777777" w:rsidR="008A4077" w:rsidRPr="008A4077" w:rsidRDefault="008A4077" w:rsidP="008A4077"/>
    <w:p w14:paraId="2393072A" w14:textId="3AD28755" w:rsidR="008A4077" w:rsidRPr="008A4077" w:rsidRDefault="008A4077" w:rsidP="008A4077">
      <w:r w:rsidRPr="008A4077">
        <w:t xml:space="preserve">Генеральный директор госкорпорации «Росатом» Алексей Лихачев </w:t>
      </w:r>
      <w:hyperlink r:id="rId10" w:history="1">
        <w:r w:rsidRPr="008A4077">
          <w:rPr>
            <w:rStyle w:val="a4"/>
          </w:rPr>
          <w:t>продемонстрировал</w:t>
        </w:r>
      </w:hyperlink>
      <w:r w:rsidRPr="008A4077">
        <w:t xml:space="preserve"> Председателю Правительства РФ Михаилу Мишустину проекты компании для достижения цифрового суверенитета. </w:t>
      </w:r>
    </w:p>
    <w:p w14:paraId="5A869F29" w14:textId="77777777" w:rsidR="008A4077" w:rsidRPr="008A4077" w:rsidRDefault="008A4077" w:rsidP="008A4077"/>
    <w:p w14:paraId="7994DDFA" w14:textId="736FAC77" w:rsidR="008A4077" w:rsidRPr="008A4077" w:rsidRDefault="008A4077" w:rsidP="008A4077">
      <w:r w:rsidRPr="008A4077">
        <w:t xml:space="preserve">В рамках деловой программы «Росатом» провел сессию «Переход от импортозамещения ИТ-инструментов к импортонезависимости ТИМ». Эксперты рассмотрели вопросы создания единого национального формата данных и обеспечения технологического суверенитета в строительной отрасли, уделив особое внимание системному подходу к замещению иностранных технологий информационного моделирования в промышленном и гражданском строительстве. Директор по информационным и цифровым технологиям госкорпорации «Росатом» </w:t>
      </w:r>
      <w:r w:rsidRPr="008A4077">
        <w:rPr>
          <w:b/>
          <w:bCs/>
        </w:rPr>
        <w:t>Евгений Абакумов</w:t>
      </w:r>
      <w:r w:rsidRPr="008A4077">
        <w:t xml:space="preserve"> в ходе выступления подчеркнул необходимость системного подхода к масштабированию отечественных цифровых решений в строительной отрасли. «У нас есть огромный потенциал в области реализации проектов промышленного строительства, в сферах математического моделирования, искусственного интеллекта и транзакционных систем. Мы уже находимся на этапе тиражирования имеющихся решений и их развития. Сегодня необходимо сосредоточиться на масштабировании существующих решений и развитии их функционала, а не ждать дополнительных мер поддержки от государства», </w:t>
      </w:r>
      <w:r w:rsidRPr="008A4077">
        <w:rPr>
          <w:b/>
          <w:bCs/>
        </w:rPr>
        <w:t>–</w:t>
      </w:r>
      <w:r w:rsidRPr="008A4077">
        <w:t xml:space="preserve"> отметил он.</w:t>
      </w:r>
    </w:p>
    <w:p w14:paraId="5F14CA36" w14:textId="77777777" w:rsidR="008A4077" w:rsidRPr="008A4077" w:rsidRDefault="008A4077" w:rsidP="008A4077"/>
    <w:p w14:paraId="3B9E6657" w14:textId="588FB8B3" w:rsidR="008A4077" w:rsidRPr="008A4077" w:rsidRDefault="008A4077" w:rsidP="008A4077">
      <w:r w:rsidRPr="008A4077">
        <w:t xml:space="preserve">Директор по квантовым технологиям «Росатома» </w:t>
      </w:r>
      <w:r w:rsidRPr="008A4077">
        <w:rPr>
          <w:b/>
          <w:bCs/>
        </w:rPr>
        <w:t>Екатерина Солнцева</w:t>
      </w:r>
      <w:r w:rsidRPr="008A4077">
        <w:t xml:space="preserve"> </w:t>
      </w:r>
      <w:hyperlink r:id="rId11" w:history="1">
        <w:r w:rsidRPr="008A4077">
          <w:rPr>
            <w:rStyle w:val="a4"/>
          </w:rPr>
          <w:t>приняла участие</w:t>
        </w:r>
      </w:hyperlink>
      <w:r w:rsidRPr="008A4077">
        <w:t xml:space="preserve"> в сессии «Квантовый проект России: от исследований </w:t>
      </w:r>
      <w:r w:rsidRPr="008A4077">
        <w:rPr>
          <w:b/>
          <w:bCs/>
        </w:rPr>
        <w:t>–</w:t>
      </w:r>
      <w:r w:rsidRPr="008A4077">
        <w:t xml:space="preserve"> к реальным индустриальным решениям»</w:t>
      </w:r>
      <w:r>
        <w:t xml:space="preserve">. </w:t>
      </w:r>
      <w:r w:rsidRPr="008A4077">
        <w:t xml:space="preserve"> </w:t>
      </w:r>
    </w:p>
    <w:p w14:paraId="46C8E096" w14:textId="77777777" w:rsidR="008A4077" w:rsidRPr="008A4077" w:rsidRDefault="008A4077" w:rsidP="008A4077"/>
    <w:p w14:paraId="235CB130" w14:textId="24225F9C" w:rsidR="008A4077" w:rsidRPr="008A4077" w:rsidRDefault="008A4077" w:rsidP="008A4077">
      <w:r w:rsidRPr="008A4077">
        <w:t xml:space="preserve">Вице-президент по цифровизации и информационным технологиям АО «АСЭ» (Инжиниринговый дивизион «Росатома») </w:t>
      </w:r>
      <w:r w:rsidRPr="008A4077">
        <w:rPr>
          <w:b/>
          <w:bCs/>
        </w:rPr>
        <w:t>Ирина Власова</w:t>
      </w:r>
      <w:r w:rsidRPr="008A4077">
        <w:t xml:space="preserve"> выступила на двух сессиях деловой программы </w:t>
      </w:r>
      <w:r w:rsidRPr="008A4077">
        <w:rPr>
          <w:b/>
          <w:bCs/>
        </w:rPr>
        <w:t>–</w:t>
      </w:r>
      <w:r w:rsidRPr="008A4077">
        <w:t xml:space="preserve"> «Промышленное ПО. Тонкости перехода» и «Переход от импортозамещения ИТ-инструментов к импортонезависимости ТИМ». «Совместно с российскими вендорами мы активно замещаем иностранное ПО для систем автоматизированного проектирования и управления инженерными данными. Эти решения являются одними из наиболее сложных элементов нашего производственного процесса, подлежащих импортозамещению. Что касается </w:t>
      </w:r>
      <w:r w:rsidRPr="008A4077">
        <w:lastRenderedPageBreak/>
        <w:t xml:space="preserve">собственной разработки, то у нас в дивизионе есть система управления информацией на площадках сооружения АЭС под названием MULTI-D IMS. Таким образом, мы действуем комплексно: там, где чувствуем необходимость внешних компетенций, сотрудничаем с отечественными производителями, а в иных случаях успешно реализуем проекты собственными силами», </w:t>
      </w:r>
      <w:r w:rsidR="001C2D7C" w:rsidRPr="008A4077">
        <w:rPr>
          <w:b/>
          <w:bCs/>
        </w:rPr>
        <w:t>–</w:t>
      </w:r>
      <w:r w:rsidRPr="008A4077">
        <w:t xml:space="preserve"> отметила она.</w:t>
      </w:r>
    </w:p>
    <w:p w14:paraId="360637FC" w14:textId="77777777" w:rsidR="008A4077" w:rsidRPr="008A4077" w:rsidRDefault="008A4077" w:rsidP="008A4077"/>
    <w:p w14:paraId="279E8535" w14:textId="5DEB6AC5" w:rsidR="008A4077" w:rsidRPr="008A4077" w:rsidRDefault="008A4077" w:rsidP="008A4077">
      <w:r w:rsidRPr="008A4077">
        <w:t xml:space="preserve">Вице-президент по цифровизации и информационным технологиям АО «ТВЭЛ» (управляющая компания Топливного дивизиона «Росатома») </w:t>
      </w:r>
      <w:r w:rsidRPr="008A4077">
        <w:rPr>
          <w:b/>
          <w:bCs/>
        </w:rPr>
        <w:t>Евгений Гаранин</w:t>
      </w:r>
      <w:r w:rsidRPr="008A4077">
        <w:t xml:space="preserve"> рассказал о подходе к цифровой трансформации, работе с интеграторами, а также о будущем цифровых заводов. По его словам, на сегодняшний день стратегия цифровизации дивизиона насчитывает более 200 проектов, значительную часть из них составляют решения на базе искусственного интеллекта. ИИ-системы доказали свою эффективность при использовании в корпоративных функциях и на производстве, поэтому для их ускоренного внедрения в первую очередь необходима интеграция систем базовой автоматизации для планирования, управления ресурсами, процессами, качеством и др. «Цифровая трансформация предприятий должна проходить шаг за шагом, начиная с инфраструктуры, внедрения систем базовой автоматизации и создания решений с применением искусственного интеллекта. Важнейшая компонента цифровых заводов </w:t>
      </w:r>
      <w:r w:rsidR="001C2D7C" w:rsidRPr="008A4077">
        <w:rPr>
          <w:b/>
          <w:bCs/>
        </w:rPr>
        <w:t>–</w:t>
      </w:r>
      <w:r w:rsidRPr="008A4077">
        <w:t xml:space="preserve"> возможность сквозного планирования ресурсов в широком смысле на всем этапе жизненного цикла на разных уровнях: от отдельного цеха до управляющей компании. При построении единого потока данных и интеграции комплекса систем базовой автоматизации между собой появляются синергетические эффекты, позволяющие повысить эффективность реализации производственной программы», </w:t>
      </w:r>
      <w:r w:rsidR="001C2D7C" w:rsidRPr="008A4077">
        <w:rPr>
          <w:b/>
          <w:bCs/>
        </w:rPr>
        <w:t>–</w:t>
      </w:r>
      <w:r w:rsidRPr="008A4077">
        <w:t xml:space="preserve"> подчеркнул он.</w:t>
      </w:r>
    </w:p>
    <w:p w14:paraId="076900BF" w14:textId="77777777" w:rsidR="008A4077" w:rsidRPr="008A4077" w:rsidRDefault="008A4077" w:rsidP="008A4077"/>
    <w:p w14:paraId="624E6598" w14:textId="77777777" w:rsidR="008A4077" w:rsidRPr="008A4077" w:rsidRDefault="008A4077" w:rsidP="008A4077">
      <w:r w:rsidRPr="008A4077">
        <w:t xml:space="preserve">Генеральный директор АО «Росатом Автоматизированные системы управления» </w:t>
      </w:r>
      <w:r w:rsidRPr="008A4077">
        <w:rPr>
          <w:b/>
          <w:bCs/>
        </w:rPr>
        <w:t>Андрей Бутко</w:t>
      </w:r>
      <w:r w:rsidRPr="008A4077">
        <w:t xml:space="preserve"> представил позицию «Росатома» на сессии «Автономная промышленность – будущее страны», на которой представители крупнейших игроков топливно-энергетической и добывающей промышленности обсудили актуальные вызовы, связанные с внедрением технологий автоматизации в производственные процессы. Спикеры отметили необходимость кооперации в части стандартизации решений, обмена опытом и подготовки квалифицированных кадров, необходимых для развития высокотехнологичных производств. </w:t>
      </w:r>
      <w:proofErr w:type="gramStart"/>
      <w:r w:rsidRPr="008A4077">
        <w:t>«”Росатом</w:t>
      </w:r>
      <w:proofErr w:type="gramEnd"/>
      <w:r w:rsidRPr="008A4077">
        <w:t>” уже сегодня тиражирует в России и дружественных странах свой многолетний опыт внедрения технологий автоматизации, которые стали необходимостью для конкурентной промышленности. Действительно, все время существования атомной промышленности мы работали над тем, чтобы человек управлял технологическими процессами в зонах повышенной опасности без физического присутствия в них. Сейчас это уже не фантастика, а реальная задача, которая стоит не только перед нами, потому что «у нас радиация», а перед всей промышленностью России. И для всех нас крайне важно, как сформировать её облик в обозримом горизонте, так и приложить усилия к его достижению», – подчеркнул в своем выступлении Андрей Бутко.</w:t>
      </w:r>
    </w:p>
    <w:p w14:paraId="749C599F" w14:textId="77777777" w:rsidR="008A4077" w:rsidRPr="008A4077" w:rsidRDefault="008A4077" w:rsidP="008A4077"/>
    <w:p w14:paraId="2D272E10" w14:textId="6892D7D5" w:rsidR="008A4077" w:rsidRPr="008A4077" w:rsidRDefault="008A4077" w:rsidP="008A4077">
      <w:r w:rsidRPr="008A4077">
        <w:t>Директор блока функциональных и бизнес</w:t>
      </w:r>
      <w:r w:rsidR="001C2D7C">
        <w:t>-</w:t>
      </w:r>
      <w:r w:rsidRPr="008A4077">
        <w:t xml:space="preserve">компетенций АНО «Корпоративная Академия Росатома» </w:t>
      </w:r>
      <w:r w:rsidRPr="008A4077">
        <w:rPr>
          <w:b/>
          <w:bCs/>
        </w:rPr>
        <w:t xml:space="preserve">Наталья </w:t>
      </w:r>
      <w:proofErr w:type="spellStart"/>
      <w:r w:rsidRPr="008A4077">
        <w:rPr>
          <w:b/>
          <w:bCs/>
        </w:rPr>
        <w:t>Ходунова</w:t>
      </w:r>
      <w:proofErr w:type="spellEnd"/>
      <w:r w:rsidRPr="008A4077">
        <w:t xml:space="preserve"> на сессии «Продиктуйте код из смс. Мошенники, который мы заслужили» подчеркнула важность формирования культуры информационной безопасности, при которой сотрудники не просто знают, как действовать в критических ситуациях, но и внутренне готовы реагировать на угрозы. В качестве примера системной работы в этом направлении спикер привела образовательные форматы с вовлечением семей и отметила, что даже поведение детей в цифровой среде может повлиять на кибербезопасность компании. По словам спикера, Академия активно работает над решением задачи по развитию цифровых компетенций сотрудников «Росатома» для достижения бизнес-целей госкорпорации.</w:t>
      </w:r>
    </w:p>
    <w:p w14:paraId="531ED4AF" w14:textId="77777777" w:rsidR="008A4077" w:rsidRPr="008A4077" w:rsidRDefault="008A4077" w:rsidP="008A4077"/>
    <w:p w14:paraId="60D2123E" w14:textId="77777777" w:rsidR="008A4077" w:rsidRPr="008A4077" w:rsidRDefault="008A4077" w:rsidP="008A4077">
      <w:r w:rsidRPr="008A4077">
        <w:t xml:space="preserve">Генеральный директор ООО «Городские технологии» (входит в АО «Росатом Инфраструктурные решения») </w:t>
      </w:r>
      <w:r w:rsidRPr="008A4077">
        <w:rPr>
          <w:b/>
          <w:bCs/>
        </w:rPr>
        <w:t xml:space="preserve">Елена </w:t>
      </w:r>
      <w:proofErr w:type="spellStart"/>
      <w:r w:rsidRPr="008A4077">
        <w:rPr>
          <w:b/>
          <w:bCs/>
        </w:rPr>
        <w:t>Лекомцева</w:t>
      </w:r>
      <w:proofErr w:type="spellEnd"/>
      <w:r w:rsidRPr="008A4077">
        <w:t xml:space="preserve"> приняла участие в сессии Минстроя России «Повышение эффективности комплекса жилищно-коммунального хозяйства через внедрение платформенных решений». Основной целью дискуссии стала разработка подходов к решению проблем в сфере ЖКХ и рассмотрение успешных примеров, реализованных в регионах. В ходе выступления эксперт представила опыт реализации проектов и цифровые продукты дивизиона для энергетики и жилищно-коммунального комплекса, а также рассказала о достигнутых эффектах, в том числе о снижении аварийности и росте производительности труда.</w:t>
      </w:r>
    </w:p>
    <w:p w14:paraId="7612B81A" w14:textId="77777777" w:rsidR="008A4077" w:rsidRPr="008A4077" w:rsidRDefault="008A4077" w:rsidP="008A4077"/>
    <w:p w14:paraId="472DA6A5" w14:textId="05D2AA3F" w:rsidR="008A4077" w:rsidRPr="008A4077" w:rsidRDefault="008A4077" w:rsidP="008A4077">
      <w:r w:rsidRPr="008A4077">
        <w:t xml:space="preserve">На форуме «Росатом» и его компании подписали целый ряд соглашений. В частности,  3 июня в рамках X конференции </w:t>
      </w:r>
      <w:r w:rsidR="001C2D7C">
        <w:t>«</w:t>
      </w:r>
      <w:r w:rsidRPr="008A4077">
        <w:t>Цифровая индустрия промышленной России</w:t>
      </w:r>
      <w:r w:rsidR="001C2D7C">
        <w:t>»</w:t>
      </w:r>
      <w:r w:rsidRPr="008A4077">
        <w:t xml:space="preserve"> (ЦИПР) </w:t>
      </w:r>
      <w:hyperlink r:id="rId12" w:history="1">
        <w:r w:rsidRPr="008A4077">
          <w:rPr>
            <w:rStyle w:val="a4"/>
          </w:rPr>
          <w:t>подписано соглашение</w:t>
        </w:r>
      </w:hyperlink>
      <w:r w:rsidRPr="008A4077">
        <w:t xml:space="preserve"> о сотрудничестве госкорпорации «Росатом» с правительством Нижегородской области. АО «</w:t>
      </w:r>
      <w:proofErr w:type="spellStart"/>
      <w:r w:rsidRPr="008A4077">
        <w:t>Гринатом</w:t>
      </w:r>
      <w:proofErr w:type="spellEnd"/>
      <w:r w:rsidRPr="008A4077">
        <w:t>» (ИТ-интегратор госкорпорации «Росатом») и «</w:t>
      </w:r>
      <w:proofErr w:type="spellStart"/>
      <w:r w:rsidRPr="008A4077">
        <w:t>Сбертех</w:t>
      </w:r>
      <w:proofErr w:type="spellEnd"/>
      <w:r w:rsidRPr="008A4077">
        <w:t xml:space="preserve">» </w:t>
      </w:r>
      <w:hyperlink r:id="rId13" w:history="1">
        <w:r w:rsidRPr="008A4077">
          <w:rPr>
            <w:rStyle w:val="a4"/>
          </w:rPr>
          <w:t>подписали соглашение</w:t>
        </w:r>
      </w:hyperlink>
      <w:r w:rsidRPr="008A4077">
        <w:t xml:space="preserve"> о сотрудничестве по вопросам разработки и совместного продвижения цифровых продуктов и платформ. АО «Прорыв» </w:t>
      </w:r>
      <w:hyperlink r:id="rId14" w:history="1">
        <w:r w:rsidRPr="008A4077">
          <w:rPr>
            <w:rStyle w:val="a4"/>
          </w:rPr>
          <w:t>подписало соглашения</w:t>
        </w:r>
      </w:hyperlink>
      <w:r w:rsidRPr="008A4077">
        <w:t xml:space="preserve"> с Московским государственным строительным университетом (МГСУ, один из опорных вузов «Росатома») и Томским государственным университетом систем управления и радиоэлектроники. АО «</w:t>
      </w:r>
      <w:proofErr w:type="spellStart"/>
      <w:r w:rsidRPr="008A4077">
        <w:t>Атомдата</w:t>
      </w:r>
      <w:proofErr w:type="spellEnd"/>
      <w:r w:rsidRPr="008A4077">
        <w:t xml:space="preserve">-Иннополис» (входит в «Росатом») и Корпорация развития Нижегородской области </w:t>
      </w:r>
      <w:hyperlink r:id="rId15" w:history="1">
        <w:r w:rsidRPr="008A4077">
          <w:rPr>
            <w:rStyle w:val="a4"/>
          </w:rPr>
          <w:t>заключили соглашение</w:t>
        </w:r>
      </w:hyperlink>
      <w:r w:rsidRPr="008A4077">
        <w:t xml:space="preserve"> о строительстве центра обработки данных (ЦОД) в Нижегородской области. АО «Росатом Автоматизированные системы управления» (АО «РАСУ», дивизион «АСУ ТП и Электротехника» госкорпорации «Росатом») и ГК </w:t>
      </w:r>
      <w:proofErr w:type="spellStart"/>
      <w:r w:rsidRPr="008A4077">
        <w:t>Softline</w:t>
      </w:r>
      <w:proofErr w:type="spellEnd"/>
      <w:r w:rsidRPr="008A4077">
        <w:t xml:space="preserve"> (ПАО «</w:t>
      </w:r>
      <w:proofErr w:type="spellStart"/>
      <w:r w:rsidRPr="008A4077">
        <w:t>Софтлайн</w:t>
      </w:r>
      <w:proofErr w:type="spellEnd"/>
      <w:r w:rsidRPr="008A4077">
        <w:t xml:space="preserve">») </w:t>
      </w:r>
      <w:hyperlink r:id="rId16" w:history="1">
        <w:r w:rsidRPr="008A4077">
          <w:rPr>
            <w:rStyle w:val="a4"/>
          </w:rPr>
          <w:t>подписали соглашение</w:t>
        </w:r>
      </w:hyperlink>
      <w:r w:rsidRPr="008A4077">
        <w:t xml:space="preserve"> о стратегическом сотрудничестве.</w:t>
      </w:r>
    </w:p>
    <w:p w14:paraId="3D5EE2AE" w14:textId="77777777" w:rsidR="008A4077" w:rsidRPr="008A4077" w:rsidRDefault="008A4077" w:rsidP="008A4077"/>
    <w:p w14:paraId="7C2B05C6" w14:textId="48CBC01F" w:rsidR="008A4077" w:rsidRPr="008A4077" w:rsidRDefault="008A4077" w:rsidP="008A4077">
      <w:r w:rsidRPr="008A4077">
        <w:t xml:space="preserve">В рамках «ЦИПР-2025» «Росатом» </w:t>
      </w:r>
      <w:hyperlink r:id="rId17" w:history="1">
        <w:r w:rsidRPr="008A4077">
          <w:rPr>
            <w:rStyle w:val="a4"/>
          </w:rPr>
          <w:t>представил стенд</w:t>
        </w:r>
      </w:hyperlink>
      <w:r w:rsidRPr="008A4077">
        <w:t xml:space="preserve"> площадью 70 квадратных метров, который стал победителем в номинации «Масштаб застройки» премии CIPR Digital-2025. </w:t>
      </w:r>
    </w:p>
    <w:p w14:paraId="19897199" w14:textId="77777777" w:rsidR="008A4077" w:rsidRPr="008A4077" w:rsidRDefault="008A4077" w:rsidP="008A4077"/>
    <w:p w14:paraId="48D7A704" w14:textId="69642B3F" w:rsidR="008A4077" w:rsidRPr="008A4077" w:rsidRDefault="001C2D7C" w:rsidP="008A4077">
      <w:pPr>
        <w:rPr>
          <w:b/>
          <w:bCs/>
        </w:rPr>
      </w:pPr>
      <w:r w:rsidRPr="001C2D7C">
        <w:rPr>
          <w:b/>
          <w:bCs/>
        </w:rPr>
        <w:t>С</w:t>
      </w:r>
      <w:r w:rsidR="008A4077" w:rsidRPr="008A4077">
        <w:rPr>
          <w:b/>
          <w:bCs/>
        </w:rPr>
        <w:t>правк</w:t>
      </w:r>
      <w:r w:rsidRPr="001C2D7C">
        <w:rPr>
          <w:b/>
          <w:bCs/>
        </w:rPr>
        <w:t>а</w:t>
      </w:r>
      <w:r w:rsidR="008A4077" w:rsidRPr="008A4077">
        <w:rPr>
          <w:b/>
          <w:bCs/>
        </w:rPr>
        <w:t>:</w:t>
      </w:r>
    </w:p>
    <w:p w14:paraId="142F1348" w14:textId="77777777" w:rsidR="008A4077" w:rsidRPr="008A4077" w:rsidRDefault="008A4077" w:rsidP="008A4077"/>
    <w:p w14:paraId="6D0367ED" w14:textId="504A1AB9" w:rsidR="008A4077" w:rsidRPr="008A4077" w:rsidRDefault="008A4077" w:rsidP="008A4077">
      <w:r w:rsidRPr="008A4077">
        <w:rPr>
          <w:b/>
          <w:bCs/>
        </w:rPr>
        <w:t>Конференция «Цифровая индустрия промышленной России»</w:t>
      </w:r>
      <w:r w:rsidR="001C2D7C">
        <w:t xml:space="preserve"> </w:t>
      </w:r>
      <w:r w:rsidRPr="008A4077">
        <w:t xml:space="preserve">– одно из главных ежегодных мероприятий по теме цифровизации российской индустрии. Проводится ежегодно с 2016 года. Организатором конференции является компания «ОМГ» при поддержке Правительства РФ, Министерства цифрового развития, связи и массовых коммуникаций Российской Федерации и Правительства Нижегородской области. В рамках конференции обсуждается цифровая трансформация общества и ключевых отраслей экономики, новые инициативы и предложения. Мероприятие объединяет ведущих участников цифровой экономики со стороны крупного и среднего бизнеса, стартап-сообщества, науки и цифрового искусства. ЦИПР также является площадкой проведения </w:t>
      </w:r>
      <w:proofErr w:type="spellStart"/>
      <w:r w:rsidRPr="008A4077">
        <w:t>хакатонов</w:t>
      </w:r>
      <w:proofErr w:type="spellEnd"/>
      <w:r w:rsidRPr="008A4077">
        <w:t>, питчинг сессий и выставки NFT-искусства. В мероприятии 2024 года приняли участие более 9800 человек из 89 регионов России. Было подписано более 140 соглашений, в том числе международных.</w:t>
      </w:r>
      <w:r w:rsidR="001C2D7C">
        <w:t xml:space="preserve"> </w:t>
      </w:r>
    </w:p>
    <w:p w14:paraId="36B6E6D5" w14:textId="77777777" w:rsidR="008A4077" w:rsidRPr="008A4077" w:rsidRDefault="008A4077" w:rsidP="008A4077"/>
    <w:p w14:paraId="21C25D69" w14:textId="41B445DF" w:rsidR="008A4077" w:rsidRPr="008A4077" w:rsidRDefault="008A4077" w:rsidP="008A4077">
      <w:r w:rsidRPr="008A4077">
        <w:rPr>
          <w:b/>
          <w:bCs/>
        </w:rPr>
        <w:t>Инжиниринговый дивизион госкорпорации «Росатом»</w:t>
      </w:r>
      <w:r w:rsidRPr="008A4077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</w:t>
      </w:r>
      <w:r w:rsidRPr="008A4077">
        <w:lastRenderedPageBreak/>
        <w:t>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18" w:history="1">
        <w:r w:rsidRPr="008A4077">
          <w:rPr>
            <w:rStyle w:val="a4"/>
          </w:rPr>
          <w:t>www.ase-ec.ru</w:t>
        </w:r>
      </w:hyperlink>
    </w:p>
    <w:p w14:paraId="38864B6E" w14:textId="77777777" w:rsidR="008A4077" w:rsidRPr="008A4077" w:rsidRDefault="008A4077" w:rsidP="008A4077"/>
    <w:p w14:paraId="13087CFA" w14:textId="04ED903D" w:rsidR="008A4077" w:rsidRPr="008A4077" w:rsidRDefault="008A4077" w:rsidP="008A4077">
      <w:r w:rsidRPr="008A4077">
        <w:rPr>
          <w:b/>
          <w:bCs/>
        </w:rPr>
        <w:t xml:space="preserve">Топливный дивизион госкорпорации «Росатом» (управляющая компания </w:t>
      </w:r>
      <w:r w:rsidR="001209B0" w:rsidRPr="008A4077">
        <w:rPr>
          <w:b/>
          <w:bCs/>
        </w:rPr>
        <w:t>–</w:t>
      </w:r>
      <w:r w:rsidR="001209B0" w:rsidRPr="008A4077">
        <w:t xml:space="preserve"> </w:t>
      </w:r>
      <w:r w:rsidRPr="008A4077">
        <w:rPr>
          <w:b/>
          <w:bCs/>
        </w:rPr>
        <w:t>АО «ТВЭЛ»)</w:t>
      </w:r>
      <w:r w:rsidRPr="008A4077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 </w:t>
      </w:r>
      <w:hyperlink r:id="rId19" w:history="1">
        <w:r w:rsidRPr="008A4077">
          <w:rPr>
            <w:rStyle w:val="a4"/>
          </w:rPr>
          <w:t>tvel.ru</w:t>
        </w:r>
      </w:hyperlink>
    </w:p>
    <w:p w14:paraId="47AF3745" w14:textId="77777777" w:rsidR="008A4077" w:rsidRPr="008A4077" w:rsidRDefault="008A4077" w:rsidP="008A4077"/>
    <w:p w14:paraId="27E8319A" w14:textId="77777777" w:rsidR="008A4077" w:rsidRPr="008A4077" w:rsidRDefault="008A4077" w:rsidP="008A4077">
      <w:r w:rsidRPr="008A4077"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</w:p>
    <w:p w14:paraId="62EBA338" w14:textId="7939384F" w:rsidR="005B2B5E" w:rsidRPr="008A4077" w:rsidRDefault="005B2B5E" w:rsidP="008A4077"/>
    <w:sectPr w:rsidR="005B2B5E" w:rsidRPr="008A4077">
      <w:footerReference w:type="default" r:id="rId2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72F0" w14:textId="77777777" w:rsidR="00652701" w:rsidRDefault="00652701">
      <w:r>
        <w:separator/>
      </w:r>
    </w:p>
  </w:endnote>
  <w:endnote w:type="continuationSeparator" w:id="0">
    <w:p w14:paraId="06B1E79A" w14:textId="77777777" w:rsidR="00652701" w:rsidRDefault="0065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E2A91" w14:textId="77777777" w:rsidR="00652701" w:rsidRDefault="00652701">
      <w:r>
        <w:separator/>
      </w:r>
    </w:p>
  </w:footnote>
  <w:footnote w:type="continuationSeparator" w:id="0">
    <w:p w14:paraId="055DDC79" w14:textId="77777777" w:rsidR="00652701" w:rsidRDefault="0065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52701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tommedia.online/press-releases/grinatom-i-sbertekh-podpisali-soglashenie-o-sotrudnichestve/" TargetMode="External"/><Relationship Id="rId18" Type="http://schemas.openxmlformats.org/officeDocument/2006/relationships/hyperlink" Target="http://www.ase-ec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tommedia.online/press-releases/rosatom-na-polyakh-tsipr-2025-zaklyuchil-soglashenie-o-sotrudnichestve-s-nizhegorodskoy-oblastyu/" TargetMode="External"/><Relationship Id="rId17" Type="http://schemas.openxmlformats.org/officeDocument/2006/relationships/hyperlink" Target="https://atommedia.online/press-releases/it-integrator-rosatoma-poluchil-premiyu-cipr-digital-2025-srazu-v-trekh-nominatsiyak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tommedia.online/press-releases/rosatom-i-softline-dogovorilis-o-sovmestnoy-razrabotke-doverennykh-tsifrovykh-resheniy-dlya-promysh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ommedia.online/press-releases/rosatom-predstavil-na-konferentsii-tsipr-2025-bank-zadach-dlya-primeneniya-kvantovykh-vychisleni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tommedia.online/press-releases/rosatom-zaklyuchil-soglashenie-o-stroitelstve-data-tsentra-v-nizhegorodskoy-oblasti/" TargetMode="External"/><Relationship Id="rId10" Type="http://schemas.openxmlformats.org/officeDocument/2006/relationships/hyperlink" Target="https://atommedia.online/press-releases/rosatom-predstavil-na-konferentsii-tsipr-2025-proekty-v-sfere-tsifrovogo-upravleniya-promyshlennymi-/" TargetMode="External"/><Relationship Id="rId19" Type="http://schemas.openxmlformats.org/officeDocument/2006/relationships/hyperlink" Target="https://tv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hyperlink" Target="https://atommedia.online/press-releases/rosatom-ukreplyaet-sotrudnichestvo-s-vedushchimi-vuzami-rossii-dlya-realizatsii-tekhnologiy-atomnoy-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2025-06-06T13:00:00Z</dcterms:created>
  <dcterms:modified xsi:type="dcterms:W3CDTF">2025-06-06T13:00:00Z</dcterms:modified>
</cp:coreProperties>
</file>