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24.05.24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Федеральный научно-образовательный консорциум «Передовые ЭкоТехнологии» определил ключевые направления работы в 2024 году</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Было принято решение о включении в состав консорциума Самарского государственного технического университета</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22 мая в Москве состоялось заседание федерального научно-образовательного консорциума «Передовые ЭкоТехнологии» (создан в мае 2020 года по инициативе предприятия Госкорпорации «Росатом» ФГУП «ФЭО»), посвященное ключевым направлениям работы в 2024 году. </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ходе заседания было принято решение о включении в состав консорциума, образованного для консолидации научного потенциала и создания кадрового резерва для новой отрасли по обращению с опасными промышленными отходами в рамках реализации федерального проекта «Инфраструктура для обращения с отходами I–II классов опасности», Самарского государственного технического университета. Он представил компетенции в сфере промышленной экологии и успешные примеры авторского сопровождения и внедрения разработок, а также опытно-конструкторского и рабочего проектирования. Все технологии, разрабатываемые в университете, могут быть реализованы на практике.</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В части развития образовательного проекта «Менделеевские классы» было предложено рассмотреть вопрос предоставления выпускникам-менделеевцам дополнительных баллов к ЕГЭ, возможности получения профессии лаборанта по завершении обучения в школе, а также организации специализированного конкурса для учащихся «Менделеевских классов» и проработки вопросов по его включению в перечень олимпиад федерального уровня.</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«В рамках работы мы активно взаимодействуем с научными организациями — участниками консорциума, обсуждаем реализацию совместных образовательных программ, — приветствуя участников заседания, отметил первый заместитель председателя Комитета по науке и высшему образованию Государственной Думы Федерального Собрания РФ, член попечительского совета консорциума Александр Мажуга. — Кроме того, в части реализации поручений в рамках Базельской и Стокгольмской конвенций нам совместно с научным сообществом необходимо подумать, какие сегодня существуют перспективы, экологичные технологии переработки и утилизации органических соединений. Несмотря на международную обстановку, наши обязательства по этим конвенциям необходимо соблюдать».</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«Консорциум решает важнейшие задачи научно-технологического развития в сфере охраны окружающей среды, обеспечения экологической безопасности в области обезвреживания и утилизации промышленных отходов, подготовки и переподготовки кадров, — отметил генеральный директор ФГУП „ФЭО“, член попечительского совета консорциума Максим Погодин. — Считаю, что успешная реализация поставленных нам государством сложнейших задач в сфере экологии возможна только при обеспечении эффективного диалога с научным и экспертным сообществом. Благодаря работе консорциума нам удалось достигнуть больших результатов в работе по созданию инфраструктуры для обращения с отходами I и II классов и ликвидации накопленного вреда окружающей среде».</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«Консорциум объединяет организации высшей школы, научные и общественные организации, которые выполняют глобальную работу, решают большие задачи, в том числе по формированию в РФ новой отрасли экономики по обращению с отходами производства и потребления. Мы с вами первопроходцы», — отметил, подводя итоги заседания, проректор по развитию образовательных программ и международной деятельности Российского химико-технологического университета им. Д. И. Менделеева, руководитель исполнительной дирекции консорциума Игорь Еремин.</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В состав федерального научно-образовательного консорциума «Передовые ЭкоТехнологии» входят Российский химико-технологический университет имени Д. И. Менделеева, Вятский государственный университет, Саратовский государственный технический университет имени Ю. А. Гагарина, Удмуртский государственный университет, Удмуртский федеральный исследовательский центр Уральского отделения Российской академии наук, Курганский филиал Российской академии народного хозяйства и государственной службы при Президенте Российской Федерации, Иркутский национальный исследовательский технический университет, Национальный исследовательский Нижегородский государственный университет имени Н. И. Лобачевского, Неправительственный экологического фонда имени В. И. Вернадского, АО «Российский научный центр „Прикладная химия“» (ГИПХ), Фонд поддержки и развития экологических инициатив «Компас» и Российский государственный геологоразведочный университет имени Серго Орджоникидзе, АО «Русатом Гринвэй».</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Для подготовки кадров в сфере промышленной экологии при поддержке ФГУП «ФЭО» совместно с вузами консорциума уже четвертый год реализуется образовательный проект «Менделеевские классы» (в регионах, где создаются экотехнопарки по обезвреживанию и утилизации промышленных отходов). Проект продолжает наращивать обороты. Первые выпускники-менделеевцы в этом году готовятся стать студентами. За время обучения ребята получили достаточно знаний и практических навыков, чтобы чувствовать себя гораздо увереннее сверстников при поступлении в вузы. Мероприятия, проводимые в рамках проекта, способствуют обеспечению учеников по бесшовной профессиональной траектории: от школы и вуза до трудоустройства на предприятия, в том числе находящиеся в контуре Госкорпорации «Росатом».</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Росатом реализует мероприятия по созданию инфраструктуры для обращения с отходами I–II классов: Госкорпорация построит семь экотехнопарков для утилизации и обезвреживания отходов общей производительностью до 350 тыс. тонн отходов ежегодно. Внедрена в эксплуатацию федеральная государственная система учета и контроля за обращением с отходами I–II классов, объединившая всех участников рынка. Продолжаются мероприятия по ликвидации самых сложных объектов накопленного вреда окружающей среде, порученных Госкорпорации государством, — полигона «Красный Бор» в Ленинградской области, промплощадки бывшего Усольехимпрома и Байкальского ЦБК в Иркутской области, а также Магнитогорской левобережной свалки. Внимание также сфокусировано одновременно на важнейших составляющих экологического благополучия — безопасности городских и промышленных территорий, сохранности лесов и водных объектов, сохранении биоразнообразия и т. д.</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Правительство РФ продолжает комплексную работу по защите экологии и сохранению природного богатства нашей страны. В России реализуется сразу несколько федеральных проектов экологической направленности. Ведется формирование экологической ответственности среди молодежи. Госкорпорация «Росатом» и ее предприятия принимают активное участие в этой работе.</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rtl w:val="0"/>
        </w:rPr>
        <w:t xml:space="preserve"> </w:t>
      </w:r>
    </w:p>
    <w:p w:rsidR="00000000" w:rsidDel="00000000" w:rsidP="00000000" w:rsidRDefault="00000000" w:rsidRPr="00000000" w14:paraId="00000022">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WmoBH/UMrurtuflDzAbblmxXZA==">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2024-05-24T06:26:00Z</dcterms:created>
  <dc:creator>b v</dc:creator>
</cp:coreProperties>
</file>