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2A46C5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3ADF3D7" w:rsidR="00A514EF" w:rsidRPr="00A91A68" w:rsidRDefault="008705B9" w:rsidP="00A91A68">
            <w:pPr>
              <w:ind w:right="560"/>
              <w:jc w:val="right"/>
              <w:rPr>
                <w:sz w:val="28"/>
                <w:szCs w:val="28"/>
              </w:rPr>
            </w:pPr>
            <w:r>
              <w:rPr>
                <w:sz w:val="28"/>
                <w:szCs w:val="28"/>
              </w:rPr>
              <w:t>1</w:t>
            </w:r>
            <w:r w:rsidR="00626EE3">
              <w:rPr>
                <w:sz w:val="28"/>
                <w:szCs w:val="28"/>
              </w:rPr>
              <w:t>9</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28B50465" w14:textId="77777777" w:rsidR="00626EE3" w:rsidRPr="00626EE3" w:rsidRDefault="00626EE3" w:rsidP="00626EE3">
      <w:pPr>
        <w:jc w:val="center"/>
        <w:rPr>
          <w:b/>
          <w:bCs/>
          <w:sz w:val="28"/>
          <w:szCs w:val="28"/>
        </w:rPr>
      </w:pPr>
      <w:r w:rsidRPr="00626EE3">
        <w:rPr>
          <w:b/>
          <w:bCs/>
          <w:sz w:val="28"/>
          <w:szCs w:val="28"/>
        </w:rPr>
        <w:t>«Росатом» и Курская область утвердили план совместного развития региона</w:t>
      </w:r>
    </w:p>
    <w:p w14:paraId="4376704E" w14:textId="77777777" w:rsidR="00626EE3" w:rsidRPr="00626EE3" w:rsidRDefault="00626EE3" w:rsidP="00626EE3">
      <w:pPr>
        <w:jc w:val="center"/>
        <w:rPr>
          <w:i/>
          <w:iCs/>
        </w:rPr>
      </w:pPr>
      <w:r w:rsidRPr="00626EE3">
        <w:rPr>
          <w:i/>
          <w:iCs/>
        </w:rPr>
        <w:t>Подписанный в рамках ПМЭФ-2025 протокол предусматривает в течение трех лет масштабное обновление инфраструктуры в Курчатове</w:t>
      </w:r>
    </w:p>
    <w:p w14:paraId="31BF4378" w14:textId="77777777" w:rsidR="00626EE3" w:rsidRPr="00626EE3" w:rsidRDefault="00626EE3" w:rsidP="00626EE3"/>
    <w:p w14:paraId="118C11FC" w14:textId="77777777" w:rsidR="00626EE3" w:rsidRPr="00626EE3" w:rsidRDefault="00626EE3" w:rsidP="00626EE3">
      <w:pPr>
        <w:rPr>
          <w:b/>
          <w:bCs/>
        </w:rPr>
      </w:pPr>
      <w:r w:rsidRPr="00626EE3">
        <w:rPr>
          <w:b/>
          <w:bCs/>
        </w:rPr>
        <w:t xml:space="preserve">19 июня 2025 года в рамках Петербургского международного экономического форума был подписан протокол о дальнейшей реализации соглашения о сотрудничестве «Росатома» с Курской областью. </w:t>
      </w:r>
    </w:p>
    <w:p w14:paraId="459ABDA6" w14:textId="77777777" w:rsidR="00626EE3" w:rsidRPr="00626EE3" w:rsidRDefault="00626EE3" w:rsidP="00626EE3"/>
    <w:p w14:paraId="5C6A5F9F" w14:textId="3D4D0F6D" w:rsidR="00626EE3" w:rsidRPr="00626EE3" w:rsidRDefault="00626EE3" w:rsidP="00626EE3">
      <w:r w:rsidRPr="00626EE3">
        <w:t xml:space="preserve">Генеральный директор </w:t>
      </w:r>
      <w:r>
        <w:t>г</w:t>
      </w:r>
      <w:r w:rsidRPr="00626EE3">
        <w:t>оскорпорации «Росатом» Алексей Лихачев и врио губернатора Курской области Александр Хинштейн подписали перечень мероприятий социально-экономического и инфраструктурного развития города Курчатова Курской области (город-спутник Курской АЭС) на 2025-2027 годы.</w:t>
      </w:r>
    </w:p>
    <w:p w14:paraId="77E33A30" w14:textId="77777777" w:rsidR="00626EE3" w:rsidRPr="00626EE3" w:rsidRDefault="00626EE3" w:rsidP="00626EE3"/>
    <w:p w14:paraId="633C4510" w14:textId="77777777" w:rsidR="00626EE3" w:rsidRPr="00626EE3" w:rsidRDefault="00626EE3" w:rsidP="00626EE3">
      <w:r w:rsidRPr="00626EE3">
        <w:t xml:space="preserve">Совместными усилиями «Росатома» и Курской области в Курчатове в течение трех лет планируется реализовать ряд значимых проектов: построить крытый каток с искусственным льдом и станцию обезжелезивания; создать профессиональную образовательную организацию «Курчатовский колледж ядерной промышленности»; модульное спортивное сооружение с универсальным игровым залом; провести реконструкцию очистных сооружений, тепловой сети в селе </w:t>
      </w:r>
      <w:proofErr w:type="spellStart"/>
      <w:r w:rsidRPr="00626EE3">
        <w:t>Дичня</w:t>
      </w:r>
      <w:proofErr w:type="spellEnd"/>
      <w:r w:rsidRPr="00626EE3">
        <w:t xml:space="preserve"> Курчатовского района, а также здания для филиала областного краеведческого музея. Кроме того, предусмотрено финансирование для участия муниципалитета во Всероссийском конкурсе лучших проектов создания комфортной городской среды Минстроя России, на дальнейшее развитие программного комплекса «Умный Курчатов», обновление стелы на въезде в город, ремонт стадиона «Энергетик», строительство автодороги и другие мероприятия. </w:t>
      </w:r>
    </w:p>
    <w:p w14:paraId="1A3259F2" w14:textId="77777777" w:rsidR="00626EE3" w:rsidRPr="00626EE3" w:rsidRDefault="00626EE3" w:rsidP="00626EE3"/>
    <w:p w14:paraId="18B1584E" w14:textId="176C7B33" w:rsidR="00626EE3" w:rsidRPr="00626EE3" w:rsidRDefault="00626EE3" w:rsidP="00626EE3">
      <w:r w:rsidRPr="00626EE3">
        <w:t xml:space="preserve">«Развитие выстроенного системного сотрудничества с Курской областью остается для нас приоритетным направлением, особенно в нынешних условиях. В ближайшие три года мы планируем реализовать масштабные проекты, которые обеспечат надежную инфраструктуру и сделают жизнь жителей более комфортной. Уверен, что совместными усилиями мы сможем успешно реализовать все намеченные инициативы и внести значимый вклад в развитие региона», – отметил </w:t>
      </w:r>
      <w:r w:rsidRPr="00626EE3">
        <w:rPr>
          <w:b/>
          <w:bCs/>
        </w:rPr>
        <w:t>Алексей Лихачев</w:t>
      </w:r>
      <w:r w:rsidRPr="00626EE3">
        <w:t>.</w:t>
      </w:r>
    </w:p>
    <w:p w14:paraId="6695756F" w14:textId="77777777" w:rsidR="00626EE3" w:rsidRPr="00626EE3" w:rsidRDefault="00626EE3" w:rsidP="00626EE3"/>
    <w:p w14:paraId="0EC72002" w14:textId="674524DF" w:rsidR="00626EE3" w:rsidRPr="00626EE3" w:rsidRDefault="007C62AF" w:rsidP="00626EE3">
      <w:r w:rsidRPr="007C62AF">
        <w:t>«Сегодня на ПМЭФ мы с «Росатомом» утвердили конкретный план действий на три года вперед. Главная цель – сделать Курчатов еще более современным и комфортным для его жителей. Создание современного Курчатовского краеведческого музея, строительство катка и колледжа, модернизация коммунальной инфраструктуры, «Умный Курчатов», ремонт стадиона – все эти проекты в протоколе направлены на качество жизни. Наше партнерство с госкорпорацией – это реальные инвестиции в развитие территорий присутствия АЭС и выполнение задач, поставленных Президентом»</w:t>
      </w:r>
      <w:r w:rsidR="00626EE3" w:rsidRPr="00626EE3">
        <w:t xml:space="preserve">, – прокомментировал </w:t>
      </w:r>
      <w:r w:rsidR="00626EE3" w:rsidRPr="007C62AF">
        <w:rPr>
          <w:b/>
          <w:bCs/>
        </w:rPr>
        <w:t>Александр Хинштейн</w:t>
      </w:r>
      <w:r w:rsidR="00626EE3" w:rsidRPr="00626EE3">
        <w:t xml:space="preserve">. </w:t>
      </w:r>
    </w:p>
    <w:p w14:paraId="0823A9CC" w14:textId="77777777" w:rsidR="00626EE3" w:rsidRPr="00626EE3" w:rsidRDefault="00626EE3" w:rsidP="00626EE3"/>
    <w:p w14:paraId="5B35AC02" w14:textId="25848D0A" w:rsidR="00626EE3" w:rsidRPr="00626EE3" w:rsidRDefault="00626EE3" w:rsidP="00626EE3">
      <w:pPr>
        <w:rPr>
          <w:b/>
          <w:bCs/>
        </w:rPr>
      </w:pPr>
      <w:r w:rsidRPr="00626EE3">
        <w:rPr>
          <w:b/>
          <w:bCs/>
        </w:rPr>
        <w:t>Справка:</w:t>
      </w:r>
    </w:p>
    <w:p w14:paraId="3514ABB5" w14:textId="77777777" w:rsidR="00626EE3" w:rsidRPr="00626EE3" w:rsidRDefault="00626EE3" w:rsidP="00626EE3"/>
    <w:p w14:paraId="750C1691" w14:textId="10A8CBAF" w:rsidR="00626EE3" w:rsidRPr="00626EE3" w:rsidRDefault="00626EE3" w:rsidP="00626EE3">
      <w:r w:rsidRPr="00626EE3">
        <w:t xml:space="preserve">Взаимодействие с правительством Курской области осуществляется с 2013 года. За весь период на реализацию мероприятий социально-экономического характера </w:t>
      </w:r>
      <w:r>
        <w:t xml:space="preserve">в </w:t>
      </w:r>
      <w:r w:rsidRPr="00626EE3">
        <w:t>г. Курчатове регионом направлено более 4 млрд рублей. На эти средства достроен Дворец культуры, построены путепровод над железной дорогой и подъездные пути, сооружены котельные в п. </w:t>
      </w:r>
      <w:proofErr w:type="spellStart"/>
      <w:r w:rsidRPr="00626EE3">
        <w:t>Иванино</w:t>
      </w:r>
      <w:proofErr w:type="spellEnd"/>
      <w:r w:rsidRPr="00626EE3">
        <w:t xml:space="preserve"> и с. </w:t>
      </w:r>
      <w:proofErr w:type="spellStart"/>
      <w:r w:rsidRPr="00626EE3">
        <w:t>Дичня</w:t>
      </w:r>
      <w:proofErr w:type="spellEnd"/>
      <w:r w:rsidRPr="00626EE3">
        <w:t xml:space="preserve"> Курчатовского района, построен водозабор в с. </w:t>
      </w:r>
      <w:proofErr w:type="spellStart"/>
      <w:r w:rsidRPr="00626EE3">
        <w:t>Дичня</w:t>
      </w:r>
      <w:proofErr w:type="spellEnd"/>
      <w:r w:rsidRPr="00626EE3">
        <w:t>, проведена реконструкция набережной в рамках проекта «Теплый берег», капитально отремонтированы образовательные учреждения, дороги общего пользования, реализуется программный комплекс «Умный Курчатов», продолжаются работы по ликвидации городской свалки, установлены 42 лифта, осуществлён ремонт дворовых и общественных территорий, обустроены пешеходные переходы, реализованы дополнительные программы дошкольного образования.</w:t>
      </w:r>
    </w:p>
    <w:p w14:paraId="6BCAB461" w14:textId="77777777" w:rsidR="00626EE3" w:rsidRPr="00626EE3" w:rsidRDefault="00626EE3" w:rsidP="00626EE3"/>
    <w:p w14:paraId="5A76E93E" w14:textId="77777777" w:rsidR="00626EE3" w:rsidRPr="00626EE3" w:rsidRDefault="00626EE3" w:rsidP="00626EE3">
      <w:r w:rsidRPr="00626EE3">
        <w:t>Соглашения с регионами присутствия госкорпорации «Росатом» являются основным форматом двустороннего сотрудничества «Росатома» и субъектов Российской Федерации. Соглашения предполагают участие субъекта Российской Федерации в развитии территорий присутствия госкорпорации и содействие реализации инвестиционных программ и проектов в рамках стратегии «Росатома», а также мероприятий, направленных на достижение целей, поставленных в Указе Президента Российской Федерации от 07.05.2024 № 309 «О национальных целях развития Российской Федерации на период до 2030 года и на перспективу до 2036 года». Ежегодно для каждого «</w:t>
      </w:r>
      <w:proofErr w:type="spellStart"/>
      <w:r w:rsidRPr="00626EE3">
        <w:t>атомграда</w:t>
      </w:r>
      <w:proofErr w:type="spellEnd"/>
      <w:r w:rsidRPr="00626EE3">
        <w:t>» стороны соглашений о сотрудничестве утверждают перечень мероприятий социально-экономического и инфраструктурного развития и определяют объем финансирования.</w:t>
      </w:r>
    </w:p>
    <w:p w14:paraId="1EDEE10B" w14:textId="77777777" w:rsidR="00626EE3" w:rsidRPr="00626EE3" w:rsidRDefault="00626EE3" w:rsidP="00626EE3"/>
    <w:p w14:paraId="676C1D97" w14:textId="50031F81" w:rsidR="00626EE3" w:rsidRPr="00626EE3" w:rsidRDefault="00626EE3" w:rsidP="00626EE3">
      <w:r w:rsidRPr="00626EE3">
        <w:rPr>
          <w:b/>
          <w:bCs/>
        </w:rPr>
        <w:t>Электроэнергетический дивизион «Росатома»</w:t>
      </w:r>
      <w:r w:rsidRPr="00626EE3">
        <w:t> является крупнейшим производителем низкоуглеродной электроэнергии в России. Управляющая компания дивизиона – АО «Концерн Росэнергоатом» –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w:t>
      </w:r>
      <w:r>
        <w:t xml:space="preserve"> </w:t>
      </w:r>
      <w:hyperlink r:id="rId10" w:history="1">
        <w:r w:rsidRPr="00626EE3">
          <w:rPr>
            <w:rStyle w:val="a4"/>
          </w:rPr>
          <w:t>www.rosenergoatom.ru</w:t>
        </w:r>
      </w:hyperlink>
    </w:p>
    <w:p w14:paraId="39B80558" w14:textId="77777777" w:rsidR="00626EE3" w:rsidRPr="00626EE3" w:rsidRDefault="00626EE3" w:rsidP="00626EE3"/>
    <w:p w14:paraId="63B1D27D" w14:textId="1FDA77BA" w:rsidR="00626EE3" w:rsidRPr="00626EE3" w:rsidRDefault="00626EE3" w:rsidP="00626EE3">
      <w:r w:rsidRPr="00626EE3">
        <w:rPr>
          <w:b/>
          <w:bCs/>
        </w:rPr>
        <w:t>Курская АЭС (филиал АО «Концерн Росэнергоатом» в г. Курчатов Курской области)</w:t>
      </w:r>
      <w:r w:rsidRPr="00626EE3">
        <w:t xml:space="preserve"> – один из крупнейших в Среднерусском Черноземье генерирующих источников электроэнергии. Потребителями её электроэнергии являются 19 регионов Центра России. Станция имеет в своем составе три энергоблока с канальными реакторами общей мощностью 3 млн кВт. Энергоблоки станции были подключены к единой энергетической системе страны в 1976, 1979, 1983 и 1985 годах. В 1994-2009 годах все действующие энергоблоки прошли глубокую техническую модернизацию. Энергоблок № 1 после 45 лет службы с декабря 2021 года находится в режиме эксплуатации без генерации. В январе 2024 года был остановлен энергоблок № 2 Курской АЭС, в настоящее время он тоже находится в режиме эксплуатации без генерации. Осуществляется сооружение энергоблоков № 1 и № 2 станции замещения – Курской АЭС-2, с новым типом реактора ВВЭР-ТОИ. Проектный срок их службы составит 60 лет с возможностью продления еще на 20 лет.</w:t>
      </w:r>
    </w:p>
    <w:p w14:paraId="37E4F73A" w14:textId="77777777" w:rsidR="00626EE3" w:rsidRPr="00626EE3" w:rsidRDefault="00626EE3" w:rsidP="00626EE3"/>
    <w:p w14:paraId="65ED4289" w14:textId="46EEEB9F" w:rsidR="00626EE3" w:rsidRPr="00626EE3" w:rsidRDefault="00626EE3" w:rsidP="00626EE3">
      <w:r w:rsidRPr="00626EE3">
        <w:rPr>
          <w:b/>
          <w:bCs/>
        </w:rPr>
        <w:lastRenderedPageBreak/>
        <w:t>Петербургский международный экономический форум (ПМЭФ)</w:t>
      </w:r>
      <w:r w:rsidRPr="00626EE3">
        <w:t xml:space="preserve"> – одно из важнейших событий в экономическом пространстве СНГ. Оператором мероприятия является фонд «</w:t>
      </w:r>
      <w:proofErr w:type="spellStart"/>
      <w:r w:rsidRPr="00626EE3">
        <w:t>Росконгресс</w:t>
      </w:r>
      <w:proofErr w:type="spellEnd"/>
      <w:r w:rsidRPr="00626EE3">
        <w:t>», форум проходит ежегодно, начиная с 1997 года.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В 2024 году в форуме приняли участие более 21800 человек из 139 стран, а сумма подписанных соглашений превысила 6,49 трлн рублей. Главная тема ПМЭФ-2025 – «Общие ценности – основа роста в многополярном мире». Программа насчитывает более 150 мероприятий в различных форматах, в том числе пленарное заседание, стратегические сессии, дискуссии и деловые завтраки. Страной-гостем форума в этом году станет королевство Бахрейн.</w:t>
      </w:r>
    </w:p>
    <w:p w14:paraId="5A1E7323" w14:textId="77777777" w:rsidR="00626EE3" w:rsidRPr="00626EE3" w:rsidRDefault="00626EE3" w:rsidP="00626EE3"/>
    <w:p w14:paraId="5D33D8BC" w14:textId="77777777" w:rsidR="00626EE3" w:rsidRPr="00626EE3" w:rsidRDefault="00626EE3" w:rsidP="00626EE3">
      <w:r w:rsidRPr="00626EE3">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14:paraId="672B5F0E" w14:textId="06AEADFC" w:rsidR="00D54720" w:rsidRPr="00626EE3" w:rsidRDefault="00D54720" w:rsidP="00626EE3"/>
    <w:sectPr w:rsidR="00D54720" w:rsidRPr="00626EE3">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C12A" w14:textId="77777777" w:rsidR="00250900" w:rsidRDefault="00250900">
      <w:r>
        <w:separator/>
      </w:r>
    </w:p>
  </w:endnote>
  <w:endnote w:type="continuationSeparator" w:id="0">
    <w:p w14:paraId="22026777" w14:textId="77777777" w:rsidR="00250900" w:rsidRDefault="0025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D268" w14:textId="77777777" w:rsidR="00250900" w:rsidRDefault="00250900">
      <w:r>
        <w:separator/>
      </w:r>
    </w:p>
  </w:footnote>
  <w:footnote w:type="continuationSeparator" w:id="0">
    <w:p w14:paraId="4527E908" w14:textId="77777777" w:rsidR="00250900" w:rsidRDefault="0025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1E55"/>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090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55CC"/>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6EE3"/>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2AF"/>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441C"/>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029743">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0908776">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senergo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2025-06-18T04:44:00Z</dcterms:created>
  <dcterms:modified xsi:type="dcterms:W3CDTF">2025-06-18T11:46:00Z</dcterms:modified>
</cp:coreProperties>
</file>