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20958</wp:posOffset>
                  </wp:positionH>
                  <wp:positionV relativeFrom="paragraph">
                    <wp:posOffset>43180</wp:posOffset>
                  </wp:positionV>
                  <wp:extent cx="621665" cy="620395"/>
                  <wp:effectExtent b="0" l="0" r="0" t="0"/>
                  <wp:wrapSquare wrapText="bothSides" distB="0" distT="0" distL="114300" distR="114300"/>
                  <wp:docPr id="15066305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13.12.24</w:t>
            </w:r>
          </w:p>
        </w:tc>
      </w:tr>
    </w:tbl>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Завершён второй цикл акселератора «Квантовые вычисления» от «Росатома»</w:t>
      </w:r>
    </w:p>
    <w:p w:rsidR="00000000" w:rsidDel="00000000" w:rsidP="00000000" w:rsidRDefault="00000000" w:rsidRPr="00000000" w14:paraId="00000009">
      <w:pPr>
        <w:jc w:val="center"/>
        <w:rPr>
          <w:i w:val="1"/>
        </w:rPr>
      </w:pPr>
      <w:r w:rsidDel="00000000" w:rsidR="00000000" w:rsidRPr="00000000">
        <w:rPr>
          <w:i w:val="1"/>
          <w:rtl w:val="0"/>
        </w:rPr>
        <w:t xml:space="preserve">Три проекта получили сертификат соответствия задачам дорожной карты развития высокотехнологичной области «Квантовые вычисления».</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В Москве, в музее «Атом» на ВДНХ, прошел демо-день второго цикла отраслевого акселератора «Квантовые вычисления». Команды-участницы представили конкурсной комиссии результаты двух месяцев работы в акселерационной программе.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Сертификаты соответствия приоритетным направлениям дорожной карты «Квантовые вычисления» получили проекты «Микролазеры для систем квантовых вычислений» (Национальный исследовательский университет «Высшая школа экономики» – Санкт-Петербург), «Модуль линейного перемещения нанометрового класса» (ООО «Системы фотоники»), «Технологии резервуарных вычислений на кубитах» (Балтийский федеральный университет им. И. Канта). Отдельной номинацией «Лучшее прикладное решение по направлению «Квантовые вычисления» был отмечен проект «Создание номенклатуры лазеров для квантовых вычислений» (ООО «Нордлэйз»).</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«В акселераторах мы всегда идем по пути глубокой проработки рынка, чтобы определить рыночную, научную и техническую применимость представленных командами решений. Мы провели не один десяток встреч с представителями различных отраслей, выявили потребности в использовании квантовых вычислений и технологий для решения производственных и прикладных задач. В результате получено 68 клиентских договоренностей, одна команда уже в процессе акселерации заключила полноценный договор с новым партнером», – рассказала руководитель блока по бизнес-сопровождению проектов Отраслевого центра развития инноваций Виктория Романова.</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«В работе над проектом нам очень помогал трекер, а четкие сроки мотивировали выполнять задачи вовремя. Мы провели переговоры с большим количеством потенциальных заказчиков, получили от них обратную связь по продукту, в том числе сформулировали конкретные технические характеристики. Все это позволит сузить диапазон нашего исследования и сосредоточиться на наиболее актуальных задачах», – прокомментировала руководитель проекта «Микролазеры для систем квантовых вычислений», заведующая международной лабораторией квантовой оптоэлектроники Национального исследовательского университета «Высшая школа экономики» – Санкт-Петербург Наталья Крыжановская.</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Справка:</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Акселератор «Квантовые вычисления» – специализированный акселератор госкорпорации «Росатом», нацеленный на поддержку новых решений и технологий в области квантовых вычислений, в том числе стартапов, работающих в этой сфере. Проводится Отраслевым центром развития инноваций и ООО «Совместное предприятие “Квант”».</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Основной целью акселератора было выявить коммерческий и подтвердить научный потенциал проектов. Главными критериями определения лучших разработок стали их научная и рыночная востребованность, технологическая зрелость и перспективность технологий, а также компетенции команд.</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Полученные в акселераторе сертификаты подтверждают соответствие проектов приоритетным направлениям Дорожной карты развития высокотехнологичной области «Квантовые вычисления» на период 2025–2030 годов и наличие у них потенциала для получения мер поддержки.</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Всего в акселератор было подано 43 заявки. В основную акселерационную программу прошло десять команд. Три из них представлены коммерческими организациями, семь – научными коллективами российских вузов.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Акселерационная программа «Квантовые вычисления» будет продлена на третий цикл в 2025 году. Подробности на сайте </w:t>
      </w:r>
      <w:hyperlink r:id="rId9">
        <w:r w:rsidDel="00000000" w:rsidR="00000000" w:rsidRPr="00000000">
          <w:rPr>
            <w:color w:val="0563c1"/>
            <w:u w:val="single"/>
            <w:rtl w:val="0"/>
          </w:rPr>
          <w:t xml:space="preserve">квантовыйакс.рф</w:t>
        </w:r>
      </w:hyperlink>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Дорожная карта «Развитие высокотехнологичной области “Квантовые вычисления”» сфокусирована как на решении исследовательских и инженерных задач в области квантовых вычислений, так и на формировании экосистемы для развития этого направления, включающей создание инфраструктурной базы, образовательных программ, консорциумов с индустриальными партнерами.</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инфраструктурной, научно-технологической базы. Внедрение инноваций и нового высокотехнологичного оборудования позволяет предприятиям занимать новые ниши на рынке, повышая конкурентоспособность российской промышленности.</w:t>
      </w:r>
    </w:p>
    <w:p w:rsidR="00000000" w:rsidDel="00000000" w:rsidP="00000000" w:rsidRDefault="00000000" w:rsidRPr="00000000" w14:paraId="00000022">
      <w:pPr>
        <w:rPr/>
      </w:pPr>
      <w:r w:rsidDel="00000000" w:rsidR="00000000" w:rsidRPr="00000000">
        <w:rPr>
          <w:rtl w:val="0"/>
        </w:rPr>
      </w:r>
    </w:p>
    <w:sectPr>
      <w:footerReference r:id="rId10"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character" w:styleId="a4">
    <w:name w:val="Hyperlink"/>
    <w:basedOn w:val="a0"/>
    <w:uiPriority w:val="99"/>
    <w:unhideWhenUsed w:val="1"/>
    <w:rsid w:val="00C56287"/>
    <w:rPr>
      <w:color w:val="0563c1" w:themeColor="hyperlink"/>
      <w:u w:val="single"/>
    </w:rPr>
  </w:style>
  <w:style w:type="character" w:styleId="a5">
    <w:name w:val="Unresolved Mention"/>
    <w:basedOn w:val="a0"/>
    <w:uiPriority w:val="99"/>
    <w:semiHidden w:val="1"/>
    <w:unhideWhenUsed w:val="1"/>
    <w:rsid w:val="00C56287"/>
    <w:rPr>
      <w:color w:val="605e5c"/>
      <w:shd w:color="auto" w:fill="e1dfdd" w:val="clear"/>
    </w:rPr>
  </w:style>
  <w:style w:type="paragraph" w:styleId="a6">
    <w:name w:val="header"/>
    <w:basedOn w:val="a"/>
    <w:link w:val="a7"/>
    <w:uiPriority w:val="99"/>
    <w:unhideWhenUsed w:val="1"/>
    <w:rsid w:val="00C56287"/>
    <w:pPr>
      <w:tabs>
        <w:tab w:val="center" w:pos="4680"/>
        <w:tab w:val="right" w:pos="9360"/>
      </w:tabs>
    </w:pPr>
  </w:style>
  <w:style w:type="character" w:styleId="a7" w:customStyle="1">
    <w:name w:val="Верхний колонтитул Знак"/>
    <w:basedOn w:val="a0"/>
    <w:link w:val="a6"/>
    <w:uiPriority w:val="99"/>
    <w:rsid w:val="00C56287"/>
  </w:style>
  <w:style w:type="paragraph" w:styleId="a8">
    <w:name w:val="footer"/>
    <w:basedOn w:val="a"/>
    <w:link w:val="a9"/>
    <w:uiPriority w:val="99"/>
    <w:unhideWhenUsed w:val="1"/>
    <w:rsid w:val="00C56287"/>
    <w:pPr>
      <w:tabs>
        <w:tab w:val="center" w:pos="4680"/>
        <w:tab w:val="right" w:pos="9360"/>
      </w:tabs>
    </w:pPr>
  </w:style>
  <w:style w:type="character" w:styleId="a9" w:customStyle="1">
    <w:name w:val="Нижний колонтитул Знак"/>
    <w:basedOn w:val="a0"/>
    <w:link w:val="a8"/>
    <w:uiPriority w:val="99"/>
    <w:rsid w:val="00C56287"/>
  </w:style>
  <w:style w:type="character" w:styleId="aa">
    <w:name w:val="FollowedHyperlink"/>
    <w:basedOn w:val="a0"/>
    <w:uiPriority w:val="99"/>
    <w:semiHidden w:val="1"/>
    <w:unhideWhenUsed w:val="1"/>
    <w:rsid w:val="00C56287"/>
    <w:rPr>
      <w:color w:val="954f72" w:themeColor="followedHyperlink"/>
      <w:u w:val="single"/>
    </w:rPr>
  </w:style>
  <w:style w:type="table" w:styleId="ab">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d" w:customStyle="1">
    <w:basedOn w:val="a1"/>
    <w:tblPr>
      <w:tblStyleRowBandSize w:val="1"/>
      <w:tblStyleColBandSize w:val="1"/>
    </w:tblPr>
  </w:style>
  <w:style w:type="paragraph" w:styleId="v1msonormal" w:customStyle="1">
    <w:name w:val="v1msonormal"/>
    <w:basedOn w:val="a"/>
    <w:rsid w:val="00756799"/>
    <w:pPr>
      <w:spacing w:after="100" w:afterAutospacing="1" w:before="100" w:beforeAutospacing="1"/>
    </w:pPr>
    <w:rPr>
      <w:rFonts w:ascii="Times New Roman" w:cs="Times New Roman" w:eastAsia="Times New Roman" w:hAnsi="Times New Roman"/>
    </w:rPr>
  </w:style>
  <w:style w:type="paragraph" w:styleId="ae">
    <w:name w:val="Normal (Web)"/>
    <w:basedOn w:val="a"/>
    <w:uiPriority w:val="99"/>
    <w:semiHidden w:val="1"/>
    <w:unhideWhenUsed w:val="1"/>
    <w:rsid w:val="00ED1B39"/>
    <w:pPr>
      <w:spacing w:after="100" w:afterAutospacing="1" w:before="100" w:beforeAutospacing="1"/>
    </w:pPr>
    <w:rPr>
      <w:rFonts w:ascii="Times New Roman" w:cs="Times New Roman" w:eastAsia="Times New Roman" w:hAnsi="Times New Roman"/>
    </w:rPr>
  </w:style>
  <w:style w:type="character" w:styleId="v1msohyperlink" w:customStyle="1">
    <w:name w:val="v1msohyperlink"/>
    <w:basedOn w:val="a0"/>
    <w:rsid w:val="008E1AE0"/>
  </w:style>
  <w:style w:type="character" w:styleId="af">
    <w:name w:val="Emphasis"/>
    <w:basedOn w:val="a0"/>
    <w:uiPriority w:val="20"/>
    <w:qFormat w:val="1"/>
    <w:rsid w:val="00912895"/>
    <w:rPr>
      <w:i w:val="1"/>
      <w:iCs w:val="1"/>
    </w:rPr>
  </w:style>
  <w:style w:type="character" w:styleId="af0">
    <w:name w:val="Strong"/>
    <w:basedOn w:val="a0"/>
    <w:uiPriority w:val="22"/>
    <w:qFormat w:val="1"/>
    <w:rsid w:val="00912895"/>
    <w:rPr>
      <w:b w:val="1"/>
      <w:bCs w:val="1"/>
    </w:rPr>
  </w:style>
  <w:style w:type="paragraph" w:styleId="western" w:customStyle="1">
    <w:name w:val="western"/>
    <w:basedOn w:val="a"/>
    <w:qFormat w:val="1"/>
    <w:rsid w:val="000C417F"/>
    <w:pPr>
      <w:suppressAutoHyphens w:val="1"/>
      <w:spacing w:after="142" w:beforeAutospacing="1" w:line="276" w:lineRule="auto"/>
    </w:pPr>
    <w:rPr>
      <w:rFonts w:asciiTheme="minorHAnsi" w:cstheme="minorBidi" w:eastAsiaTheme="minorHAnsi" w:hAnsiTheme="minorHAnsi"/>
      <w:color w:val="000000"/>
      <w:sz w:val="22"/>
      <w:szCs w:val="22"/>
    </w:rPr>
  </w:style>
  <w:style w:type="table" w:styleId="af1"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srH9FRcQB95adLUApiz6DKUZw==">CgMxLjA4AHIhMXlEaHdkdjhpX1FSRGlPSDBiNEVXSmwxcGFRLTg4YTl0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2024-12-13T09:36:00Z</dcterms:created>
  <dc:creator>b v</dc:creator>
</cp:coreProperties>
</file>