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27.09.24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The Installation Works of Inner Containment of the Reactor Building of Unit 2 of El-Dabaa NPP (Egypt) started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Dr. Amged El Wakeel, Board Chairman of the Nuclear Power Plants Authority, announced on 26 September 2024 the Nuclear Power Plants Authority witnessed the installation of the first tier of the Inner Containment of the reactor building of Unit 2 at the site of El-Dabaa Nuclear Power Plant.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Inner Containment is one of the key elements of the nuclear power unit, as it works to ensure the nuclear and environmental safety of the nuclear plant. Whereas, it prevents the leakage of the radioactive substances to the </w:t>
      </w:r>
      <w:r w:rsidDel="00000000" w:rsidR="00000000" w:rsidRPr="00000000">
        <w:rPr>
          <w:rtl w:val="0"/>
        </w:rPr>
        <w:t xml:space="preserve">surrounded</w:t>
      </w:r>
      <w:r w:rsidDel="00000000" w:rsidR="00000000" w:rsidRPr="00000000">
        <w:rPr>
          <w:rtl w:val="0"/>
        </w:rPr>
        <w:t xml:space="preserve"> environment, in case of the occurrence of any emergency inside the Nuclear Power Plant. The Inner Containment is designed to be a cylindrical reinforced concrete structure with a </w:t>
      </w:r>
      <w:r w:rsidDel="00000000" w:rsidR="00000000" w:rsidRPr="00000000">
        <w:rPr>
          <w:rtl w:val="0"/>
        </w:rPr>
        <w:t xml:space="preserve">semi-spherical</w:t>
      </w:r>
      <w:r w:rsidDel="00000000" w:rsidR="00000000" w:rsidRPr="00000000">
        <w:rPr>
          <w:rtl w:val="0"/>
        </w:rPr>
        <w:t xml:space="preserve"> dome, where the nuclear reactor and the primary circuit equipment of the Nuclear Power Plant will be installed.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It is worth mentioning that the first tier of the Inner Containment of the reactor building consists of 12 leaf-type segments, each weighing between 60 and 80 Tons. The first segment was installed on Thursday, corresponding to 26 September 2024, following the pouring of the foundation slab. Moreover, the El-Dabaa Nuclear Power Plant witnessed previously the installation of the first tier of the Inner Containment for the reactor building of Unit1, and its </w:t>
      </w:r>
      <w:r w:rsidDel="00000000" w:rsidR="00000000" w:rsidRPr="00000000">
        <w:rPr>
          <w:rtl w:val="0"/>
        </w:rPr>
        <w:t xml:space="preserve">installation works took</w:t>
      </w:r>
      <w:r w:rsidDel="00000000" w:rsidR="00000000" w:rsidRPr="00000000">
        <w:rPr>
          <w:rtl w:val="0"/>
        </w:rPr>
        <w:t xml:space="preserve"> three months, </w:t>
      </w:r>
      <w:r w:rsidDel="00000000" w:rsidR="00000000" w:rsidRPr="00000000">
        <w:rPr>
          <w:rtl w:val="0"/>
        </w:rPr>
        <w:t xml:space="preserve">as of</w:t>
      </w:r>
      <w:r w:rsidDel="00000000" w:rsidR="00000000" w:rsidRPr="00000000">
        <w:rPr>
          <w:rtl w:val="0"/>
        </w:rPr>
        <w:t xml:space="preserve"> March to May.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Dr. Mohamed Dwiddar, Project Manager of El-Dabaa Nuclear Power Plant, said: “</w:t>
      </w:r>
      <w:r w:rsidDel="00000000" w:rsidR="00000000" w:rsidRPr="00000000">
        <w:rPr>
          <w:rtl w:val="0"/>
        </w:rPr>
        <w:t xml:space="preserve">the</w:t>
      </w:r>
      <w:r w:rsidDel="00000000" w:rsidR="00000000" w:rsidRPr="00000000">
        <w:rPr>
          <w:rtl w:val="0"/>
        </w:rPr>
        <w:t xml:space="preserve"> Nuclear Power Plants Authority is witnessing today a new milestone in the continuous progress of the construction works of the El-Dabaa Nuclear Power Plant. We have commenced a new phase in the construction of the nuclear Unit 2, as we celebrate today the beginning of the installation of the Inner Containment for the reactor building at the Unit 2. This achievement is a result of the combined efforts of the Egyptian team represented by the Nuclear Power Plants Authority – in its capacity </w:t>
      </w:r>
      <w:r w:rsidDel="00000000" w:rsidR="00000000" w:rsidRPr="00000000">
        <w:rPr>
          <w:rtl w:val="0"/>
        </w:rPr>
        <w:t xml:space="preserve">of the</w:t>
      </w:r>
      <w:r w:rsidDel="00000000" w:rsidR="00000000" w:rsidRPr="00000000">
        <w:rPr>
          <w:rtl w:val="0"/>
        </w:rPr>
        <w:t xml:space="preserve"> owner, and the Russian team represented by Atomstroyexport.”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Alexey Kononenko, ASE JSC Vice President - Director of El-Dabaa Nuclear Power Plant Construction Project commented: “Today we are moving on to a new stage of the construction works of Unit 2 of the El-Dabaa Nuclear Power Plant in Egypt. Undoubtedly, our international team has done a tremendous job for this purpose. Whereas, the installation of Inner Containment of the reactor building is a technical operation that will result in the safe operation of the EL-Dabaa Nuclear Power Plant in the future. It is a great pleasure to acknowledge the close cooperation between both the Russian and Egyptian parties– currently, we are building all four units of the NPP simultaneously, ensuring overall development of the construction site of the Nuclear Power Plant”.</w:t>
      </w:r>
    </w:p>
    <w:p w:rsidR="00000000" w:rsidDel="00000000" w:rsidP="00000000" w:rsidRDefault="00000000" w:rsidRPr="00000000" w14:paraId="00000016">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xpYKAsQ2Pze8yOgZYcnkkDlw==">CgMxLjA4AHIhMU1xeXlZd2V1QUNrT3ZKX2hhNmJJRE5yYlVScklNY0NY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2024-09-27T10:04:00Z</dcterms:created>
  <dc:creator>b v</dc:creator>
</cp:coreProperties>
</file>